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F3CD0B4"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C605A0">
        <w:rPr>
          <w:rFonts w:cs="Arial"/>
          <w:b/>
          <w:sz w:val="24"/>
          <w:szCs w:val="24"/>
        </w:rPr>
        <w:t>5810</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E1ECDC3"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71AD2" w:rsidRPr="00F71AD2">
        <w:rPr>
          <w:rFonts w:cs="Arial"/>
          <w:sz w:val="22"/>
        </w:rPr>
        <w:t>Input on 4Tx MPR and antenna isolation assumptions</w:t>
      </w:r>
    </w:p>
    <w:p w14:paraId="19BA32EF" w14:textId="77A2E099" w:rsidR="00A06179" w:rsidRPr="00A06179" w:rsidRDefault="00675C27" w:rsidP="00A0617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F71AD2" w:rsidRPr="00F71AD2">
        <w:rPr>
          <w:rFonts w:cs="Arial"/>
          <w:sz w:val="22"/>
        </w:rPr>
        <w:t>5.5.2.1</w:t>
      </w:r>
      <w:r w:rsidR="00F71AD2" w:rsidRPr="00F71AD2">
        <w:rPr>
          <w:rFonts w:cs="Arial"/>
          <w:sz w:val="22"/>
        </w:rPr>
        <w:tab/>
        <w:t>4Tx UE RF requirements</w:t>
      </w:r>
      <w:r w:rsidR="00F71AD2" w:rsidRPr="00F71AD2">
        <w:rPr>
          <w:rFonts w:cs="Arial"/>
          <w:sz w:val="22"/>
        </w:rPr>
        <w:tab/>
        <w:t>[NR_ENDC_RF_FR1_enh2-Core</w:t>
      </w:r>
      <w:r w:rsidR="00A06179" w:rsidRPr="00A06179">
        <w:rPr>
          <w:rFonts w:cs="Arial"/>
          <w:sz w:val="22"/>
        </w:rPr>
        <w:t>]</w:t>
      </w:r>
    </w:p>
    <w:p w14:paraId="2E5C6AEA" w14:textId="4B4AFCDC" w:rsidR="00675C27" w:rsidRPr="00A62DA7" w:rsidRDefault="00675C27" w:rsidP="00A06179">
      <w:pPr>
        <w:pStyle w:val="TAC"/>
        <w:ind w:left="18"/>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E163441"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96466D">
        <w:rPr>
          <w:rFonts w:eastAsia="SimSun"/>
          <w:lang w:eastAsia="zh-CN"/>
        </w:rPr>
        <w:t>AN</w:t>
      </w:r>
      <w:r w:rsidR="0081521D">
        <w:rPr>
          <w:rFonts w:eastAsia="SimSun"/>
          <w:lang w:eastAsia="zh-CN"/>
        </w:rPr>
        <w:t>#</w:t>
      </w:r>
      <w:r w:rsidR="0096466D">
        <w:rPr>
          <w:rFonts w:eastAsia="SimSun"/>
          <w:lang w:eastAsia="zh-CN"/>
        </w:rPr>
        <w:t>99</w:t>
      </w:r>
      <w:r w:rsidR="0075175C">
        <w:rPr>
          <w:rFonts w:eastAsia="SimSun"/>
          <w:lang w:eastAsia="zh-CN"/>
        </w:rPr>
        <w:t xml:space="preserve">, </w:t>
      </w:r>
      <w:r w:rsidR="0095746D">
        <w:rPr>
          <w:rFonts w:eastAsia="SimSun"/>
          <w:lang w:eastAsia="zh-CN"/>
        </w:rPr>
        <w:t xml:space="preserve">the </w:t>
      </w:r>
      <w:r w:rsidR="00F71AD2">
        <w:rPr>
          <w:rFonts w:eastAsia="SimSun"/>
          <w:lang w:eastAsia="zh-CN"/>
        </w:rPr>
        <w:t>generic R18 FR1_enh</w:t>
      </w:r>
      <w:r w:rsidR="00896A0F">
        <w:rPr>
          <w:rFonts w:eastAsia="SimSun"/>
          <w:lang w:eastAsia="zh-CN"/>
        </w:rPr>
        <w:t>2</w:t>
      </w:r>
      <w:r w:rsidR="0095746D">
        <w:rPr>
          <w:rFonts w:eastAsia="SimSun"/>
          <w:lang w:eastAsia="zh-CN"/>
        </w:rPr>
        <w:t xml:space="preserve"> </w:t>
      </w:r>
      <w:r w:rsidR="00F71AD2">
        <w:rPr>
          <w:rFonts w:eastAsia="SimSun"/>
          <w:lang w:eastAsia="zh-CN"/>
        </w:rPr>
        <w:t>W</w:t>
      </w:r>
      <w:r w:rsidR="0095746D">
        <w:rPr>
          <w:rFonts w:eastAsia="SimSun"/>
          <w:lang w:eastAsia="zh-CN"/>
        </w:rPr>
        <w:t xml:space="preserve">I was </w:t>
      </w:r>
      <w:r w:rsidR="00896A0F">
        <w:rPr>
          <w:rFonts w:eastAsia="SimSun"/>
          <w:lang w:eastAsia="zh-CN"/>
        </w:rPr>
        <w:t>revised</w:t>
      </w:r>
      <w:r w:rsidR="0095746D">
        <w:rPr>
          <w:rFonts w:eastAsia="SimSun"/>
          <w:lang w:eastAsia="zh-CN"/>
        </w:rPr>
        <w:t xml:space="preserve"> </w:t>
      </w:r>
      <w:r w:rsidR="00896A0F">
        <w:rPr>
          <w:rFonts w:eastAsia="SimSun"/>
          <w:lang w:eastAsia="zh-CN"/>
        </w:rPr>
        <w:t>for the 4Tx part in [1]</w:t>
      </w:r>
      <w:r w:rsidR="0092177D">
        <w:rPr>
          <w:rFonts w:eastAsia="SimSun"/>
          <w:lang w:eastAsia="zh-CN"/>
        </w:rPr>
        <w:t xml:space="preserve">. </w:t>
      </w:r>
      <w:r w:rsidR="00365622">
        <w:rPr>
          <w:rFonts w:eastAsia="SimSun"/>
          <w:lang w:eastAsia="zh-CN"/>
        </w:rPr>
        <w:t xml:space="preserve">In this contribution we </w:t>
      </w:r>
      <w:r w:rsidR="0092177D">
        <w:rPr>
          <w:rFonts w:eastAsia="SimSun"/>
          <w:lang w:eastAsia="zh-CN"/>
        </w:rPr>
        <w:t xml:space="preserve">provide our </w:t>
      </w:r>
      <w:r w:rsidR="0095746D">
        <w:rPr>
          <w:rFonts w:eastAsia="SimSun"/>
          <w:lang w:eastAsia="zh-CN"/>
        </w:rPr>
        <w:t xml:space="preserve">proposals for </w:t>
      </w:r>
      <w:r w:rsidR="007C76F4">
        <w:rPr>
          <w:rFonts w:eastAsia="SimSun"/>
          <w:lang w:eastAsia="zh-CN"/>
        </w:rPr>
        <w:t>a</w:t>
      </w:r>
      <w:r w:rsidR="00C605A0">
        <w:rPr>
          <w:rFonts w:eastAsia="SimSun"/>
          <w:lang w:eastAsia="zh-CN"/>
        </w:rPr>
        <w:t>ntenna isolation assumptions for 4Tx PC1.5 2x23dBm PAs MPR</w:t>
      </w:r>
      <w:r w:rsidR="005245BF">
        <w:rPr>
          <w:rFonts w:eastAsia="SimSun"/>
          <w:lang w:eastAsia="zh-CN"/>
        </w:rPr>
        <w:t>.</w:t>
      </w:r>
    </w:p>
    <w:p w14:paraId="58FA5DD0" w14:textId="020DF683" w:rsidR="00530C06" w:rsidRDefault="00853ECB" w:rsidP="00274AAC">
      <w:pPr>
        <w:pStyle w:val="Heading1"/>
        <w:tabs>
          <w:tab w:val="clear" w:pos="1152"/>
          <w:tab w:val="num" w:pos="450"/>
        </w:tabs>
        <w:ind w:left="450"/>
      </w:pPr>
      <w:r w:rsidRPr="00274AAC">
        <w:rPr>
          <w:rFonts w:hint="eastAsia"/>
        </w:rPr>
        <w:t>Discussion</w:t>
      </w:r>
    </w:p>
    <w:p w14:paraId="6CB6A19B" w14:textId="63FF6E43" w:rsidR="00B31765" w:rsidRDefault="00B31765" w:rsidP="00B31765">
      <w:pPr>
        <w:pStyle w:val="Heading2"/>
        <w:spacing w:after="240"/>
      </w:pPr>
      <w:r>
        <w:t xml:space="preserve"> </w:t>
      </w:r>
      <w:r w:rsidR="00205835">
        <w:t>WI</w:t>
      </w:r>
      <w:r>
        <w:t xml:space="preserve"> objectives</w:t>
      </w:r>
      <w:r w:rsidR="00F71AD2">
        <w:t xml:space="preserve"> for 4Tx</w:t>
      </w:r>
    </w:p>
    <w:p w14:paraId="5410A171" w14:textId="77777777" w:rsidR="00F71AD2" w:rsidRPr="00F71AD2" w:rsidRDefault="00F71AD2" w:rsidP="00F71AD2">
      <w:pPr>
        <w:spacing w:after="120"/>
        <w:rPr>
          <w:b/>
          <w:i/>
          <w:iCs/>
          <w:lang w:val="en-US" w:eastAsia="zh-CN"/>
        </w:rPr>
      </w:pPr>
      <w:bookmarkStart w:id="3" w:name="OLE_LINK19"/>
      <w:r w:rsidRPr="00F71AD2">
        <w:rPr>
          <w:rFonts w:hint="eastAsia"/>
          <w:b/>
          <w:i/>
          <w:iCs/>
          <w:lang w:val="en-US" w:eastAsia="zh-CN"/>
        </w:rPr>
        <w:t xml:space="preserve">Enable 4Tx on a single carrier for CPE/FWA/vehicle/industrial devices </w:t>
      </w:r>
      <w:r w:rsidRPr="00F71AD2">
        <w:rPr>
          <w:b/>
          <w:i/>
          <w:iCs/>
          <w:lang w:val="en-US" w:eastAsia="zh-CN"/>
        </w:rPr>
        <w:t>[</w:t>
      </w:r>
      <w:r w:rsidRPr="00F71AD2">
        <w:rPr>
          <w:rFonts w:hint="eastAsia"/>
          <w:b/>
          <w:i/>
          <w:iCs/>
          <w:lang w:val="en-US" w:eastAsia="zh-CN"/>
        </w:rPr>
        <w:t>RAN4</w:t>
      </w:r>
      <w:r w:rsidRPr="00F71AD2">
        <w:rPr>
          <w:b/>
          <w:i/>
          <w:iCs/>
          <w:lang w:val="en-US" w:eastAsia="zh-CN"/>
        </w:rPr>
        <w:t>]</w:t>
      </w:r>
    </w:p>
    <w:p w14:paraId="1D0E412D" w14:textId="77777777" w:rsidR="00F71AD2" w:rsidRPr="00F71AD2" w:rsidRDefault="00F71AD2" w:rsidP="00BB76FC">
      <w:pPr>
        <w:numPr>
          <w:ilvl w:val="0"/>
          <w:numId w:val="12"/>
        </w:numPr>
        <w:overflowPunct w:val="0"/>
        <w:autoSpaceDE w:val="0"/>
        <w:autoSpaceDN w:val="0"/>
        <w:adjustRightInd w:val="0"/>
        <w:spacing w:after="0"/>
        <w:ind w:hanging="357"/>
        <w:textAlignment w:val="baseline"/>
        <w:rPr>
          <w:i/>
          <w:iCs/>
          <w:lang w:val="en-US" w:eastAsia="zh-CN"/>
        </w:rPr>
      </w:pPr>
      <w:r w:rsidRPr="00F71AD2">
        <w:rPr>
          <w:i/>
          <w:iCs/>
          <w:lang w:val="en-US" w:eastAsia="zh-CN"/>
        </w:rPr>
        <w:t>Investigate framework and architecture Example bands:</w:t>
      </w:r>
    </w:p>
    <w:p w14:paraId="46E70CA6" w14:textId="77777777" w:rsidR="00F71AD2" w:rsidRPr="00F71AD2" w:rsidRDefault="00F71AD2" w:rsidP="00BB76FC">
      <w:pPr>
        <w:numPr>
          <w:ilvl w:val="1"/>
          <w:numId w:val="12"/>
        </w:numPr>
        <w:overflowPunct w:val="0"/>
        <w:autoSpaceDE w:val="0"/>
        <w:autoSpaceDN w:val="0"/>
        <w:adjustRightInd w:val="0"/>
        <w:spacing w:after="0"/>
        <w:ind w:hanging="357"/>
        <w:textAlignment w:val="baseline"/>
        <w:rPr>
          <w:i/>
          <w:iCs/>
          <w:lang w:val="en-US" w:eastAsia="zh-CN"/>
        </w:rPr>
      </w:pPr>
      <w:r w:rsidRPr="00F71AD2">
        <w:rPr>
          <w:rFonts w:hint="eastAsia"/>
          <w:i/>
          <w:iCs/>
          <w:lang w:val="en-US" w:eastAsia="zh-CN"/>
        </w:rPr>
        <w:t xml:space="preserve">TDD bands: n41, </w:t>
      </w:r>
      <w:r w:rsidRPr="00F71AD2">
        <w:rPr>
          <w:i/>
          <w:iCs/>
          <w:lang w:val="en-US" w:eastAsia="zh-CN"/>
        </w:rPr>
        <w:t>n77/n78</w:t>
      </w:r>
    </w:p>
    <w:p w14:paraId="28DD2A14" w14:textId="77777777" w:rsidR="00F71AD2" w:rsidRPr="00F71AD2" w:rsidRDefault="00F71AD2" w:rsidP="00BB76FC">
      <w:pPr>
        <w:numPr>
          <w:ilvl w:val="1"/>
          <w:numId w:val="12"/>
        </w:numPr>
        <w:overflowPunct w:val="0"/>
        <w:autoSpaceDE w:val="0"/>
        <w:autoSpaceDN w:val="0"/>
        <w:adjustRightInd w:val="0"/>
        <w:spacing w:after="0"/>
        <w:ind w:hanging="357"/>
        <w:textAlignment w:val="baseline"/>
        <w:rPr>
          <w:i/>
          <w:iCs/>
          <w:lang w:val="en-US" w:eastAsia="zh-CN"/>
        </w:rPr>
      </w:pPr>
      <w:r w:rsidRPr="00F71AD2">
        <w:rPr>
          <w:rFonts w:hint="eastAsia"/>
          <w:i/>
          <w:iCs/>
          <w:lang w:val="en-US" w:eastAsia="zh-CN"/>
        </w:rPr>
        <w:t>FDD bands: n1</w:t>
      </w:r>
    </w:p>
    <w:p w14:paraId="47A3F8B6" w14:textId="77777777" w:rsidR="00F71AD2" w:rsidRPr="00F71AD2" w:rsidRDefault="00F71AD2" w:rsidP="00BB76FC">
      <w:pPr>
        <w:numPr>
          <w:ilvl w:val="2"/>
          <w:numId w:val="12"/>
        </w:numPr>
        <w:overflowPunct w:val="0"/>
        <w:autoSpaceDE w:val="0"/>
        <w:autoSpaceDN w:val="0"/>
        <w:adjustRightInd w:val="0"/>
        <w:spacing w:after="0"/>
        <w:ind w:hanging="357"/>
        <w:textAlignment w:val="baseline"/>
        <w:rPr>
          <w:i/>
          <w:iCs/>
          <w:lang w:val="en-US" w:eastAsia="zh-CN"/>
        </w:rPr>
      </w:pPr>
      <w:r w:rsidRPr="00F71AD2">
        <w:rPr>
          <w:i/>
          <w:iCs/>
          <w:lang w:val="en-US" w:eastAsia="zh-CN"/>
        </w:rPr>
        <w:t>Note 1: the total number of example bands should be limited to 3. n77/n78 are considered as one band during the study.</w:t>
      </w:r>
    </w:p>
    <w:p w14:paraId="788947D6" w14:textId="77777777" w:rsidR="00F71AD2" w:rsidRPr="00F71AD2" w:rsidRDefault="00F71AD2" w:rsidP="00BB76FC">
      <w:pPr>
        <w:numPr>
          <w:ilvl w:val="2"/>
          <w:numId w:val="12"/>
        </w:numPr>
        <w:overflowPunct w:val="0"/>
        <w:autoSpaceDE w:val="0"/>
        <w:autoSpaceDN w:val="0"/>
        <w:adjustRightInd w:val="0"/>
        <w:spacing w:after="0"/>
        <w:ind w:hanging="357"/>
        <w:textAlignment w:val="baseline"/>
        <w:rPr>
          <w:i/>
          <w:iCs/>
          <w:lang w:val="en-US" w:eastAsia="zh-CN"/>
        </w:rPr>
      </w:pPr>
      <w:r w:rsidRPr="00F71AD2">
        <w:rPr>
          <w:i/>
          <w:iCs/>
          <w:lang w:val="en-US" w:eastAsia="zh-CN"/>
        </w:rPr>
        <w:t xml:space="preserve">Note 2: other bands to be introduced in the release independent way </w:t>
      </w:r>
      <w:proofErr w:type="gramStart"/>
      <w:r w:rsidRPr="00F71AD2">
        <w:rPr>
          <w:i/>
          <w:iCs/>
          <w:lang w:val="en-US" w:eastAsia="zh-CN"/>
        </w:rPr>
        <w:t>later on</w:t>
      </w:r>
      <w:proofErr w:type="gramEnd"/>
      <w:r w:rsidRPr="00F71AD2">
        <w:rPr>
          <w:i/>
          <w:iCs/>
          <w:lang w:val="en-US" w:eastAsia="zh-CN"/>
        </w:rPr>
        <w:t xml:space="preserve"> from Rel-18</w:t>
      </w:r>
    </w:p>
    <w:p w14:paraId="4595E842" w14:textId="77777777" w:rsidR="00F71AD2" w:rsidRPr="00F71AD2" w:rsidRDefault="00F71AD2" w:rsidP="00BB76FC">
      <w:pPr>
        <w:numPr>
          <w:ilvl w:val="2"/>
          <w:numId w:val="12"/>
        </w:numPr>
        <w:overflowPunct w:val="0"/>
        <w:autoSpaceDE w:val="0"/>
        <w:autoSpaceDN w:val="0"/>
        <w:adjustRightInd w:val="0"/>
        <w:spacing w:after="0"/>
        <w:ind w:hanging="357"/>
        <w:textAlignment w:val="baseline"/>
        <w:rPr>
          <w:i/>
          <w:iCs/>
          <w:lang w:val="en-US" w:eastAsia="zh-CN"/>
        </w:rPr>
      </w:pPr>
      <w:r w:rsidRPr="00F71AD2">
        <w:rPr>
          <w:rFonts w:hint="eastAsia"/>
          <w:i/>
          <w:iCs/>
          <w:lang w:val="en-US" w:eastAsia="zh-CN"/>
        </w:rPr>
        <w:t xml:space="preserve">Note 3: specifying requirements for TDD bands has </w:t>
      </w:r>
      <w:proofErr w:type="gramStart"/>
      <w:r w:rsidRPr="00F71AD2">
        <w:rPr>
          <w:rFonts w:hint="eastAsia"/>
          <w:i/>
          <w:iCs/>
          <w:lang w:val="en-US" w:eastAsia="zh-CN"/>
        </w:rPr>
        <w:t>first priority</w:t>
      </w:r>
      <w:proofErr w:type="gramEnd"/>
    </w:p>
    <w:p w14:paraId="22FC0E36" w14:textId="77777777" w:rsidR="00F71AD2" w:rsidRPr="00F71AD2" w:rsidRDefault="00F71AD2" w:rsidP="00BB76FC">
      <w:pPr>
        <w:numPr>
          <w:ilvl w:val="0"/>
          <w:numId w:val="12"/>
        </w:numPr>
        <w:overflowPunct w:val="0"/>
        <w:autoSpaceDE w:val="0"/>
        <w:autoSpaceDN w:val="0"/>
        <w:adjustRightInd w:val="0"/>
        <w:spacing w:after="0"/>
        <w:ind w:hanging="357"/>
        <w:textAlignment w:val="baseline"/>
        <w:rPr>
          <w:i/>
          <w:iCs/>
          <w:lang w:val="en-US" w:eastAsia="zh-CN"/>
        </w:rPr>
      </w:pPr>
      <w:r w:rsidRPr="00F71AD2">
        <w:rPr>
          <w:i/>
          <w:iCs/>
          <w:lang w:val="en-US" w:eastAsia="zh-CN"/>
        </w:rPr>
        <w:t xml:space="preserve">  Specify the UE RF requirements to support 4Tx</w:t>
      </w:r>
    </w:p>
    <w:p w14:paraId="3AB9E61D" w14:textId="77777777" w:rsidR="00F71AD2" w:rsidRPr="00F71AD2" w:rsidRDefault="00F71AD2" w:rsidP="00BB76FC">
      <w:pPr>
        <w:numPr>
          <w:ilvl w:val="1"/>
          <w:numId w:val="12"/>
        </w:numPr>
        <w:overflowPunct w:val="0"/>
        <w:autoSpaceDE w:val="0"/>
        <w:autoSpaceDN w:val="0"/>
        <w:adjustRightInd w:val="0"/>
        <w:spacing w:after="0"/>
        <w:ind w:hanging="357"/>
        <w:textAlignment w:val="baseline"/>
        <w:rPr>
          <w:i/>
          <w:iCs/>
          <w:lang w:val="en-US" w:eastAsia="zh-CN"/>
        </w:rPr>
      </w:pPr>
      <w:proofErr w:type="gramStart"/>
      <w:r w:rsidRPr="00F71AD2">
        <w:rPr>
          <w:rFonts w:hint="eastAsia"/>
          <w:i/>
          <w:iCs/>
          <w:lang w:val="en-US" w:eastAsia="zh-CN"/>
        </w:rPr>
        <w:t>First priority</w:t>
      </w:r>
      <w:proofErr w:type="gramEnd"/>
      <w:r w:rsidRPr="00F71AD2">
        <w:rPr>
          <w:rFonts w:hint="eastAsia"/>
          <w:i/>
          <w:iCs/>
          <w:lang w:val="en-US" w:eastAsia="zh-CN"/>
        </w:rPr>
        <w:t>: 4x4 UL MIMO</w:t>
      </w:r>
    </w:p>
    <w:p w14:paraId="08BDBEBB" w14:textId="77777777" w:rsidR="00F71AD2" w:rsidRPr="00F71AD2" w:rsidRDefault="00F71AD2" w:rsidP="00BB76FC">
      <w:pPr>
        <w:numPr>
          <w:ilvl w:val="1"/>
          <w:numId w:val="12"/>
        </w:numPr>
        <w:overflowPunct w:val="0"/>
        <w:autoSpaceDE w:val="0"/>
        <w:autoSpaceDN w:val="0"/>
        <w:adjustRightInd w:val="0"/>
        <w:spacing w:after="0"/>
        <w:ind w:hanging="357"/>
        <w:textAlignment w:val="baseline"/>
        <w:rPr>
          <w:i/>
          <w:iCs/>
          <w:lang w:val="en-US" w:eastAsia="zh-CN"/>
        </w:rPr>
      </w:pPr>
      <w:r w:rsidRPr="00F71AD2">
        <w:rPr>
          <w:rFonts w:hint="eastAsia"/>
          <w:i/>
          <w:iCs/>
          <w:lang w:val="en-US" w:eastAsia="zh-CN"/>
        </w:rPr>
        <w:t xml:space="preserve">Second priority: investigate and if </w:t>
      </w:r>
      <w:proofErr w:type="gramStart"/>
      <w:r w:rsidRPr="00F71AD2">
        <w:rPr>
          <w:rFonts w:hint="eastAsia"/>
          <w:i/>
          <w:iCs/>
          <w:lang w:val="en-US" w:eastAsia="zh-CN"/>
        </w:rPr>
        <w:t>necessary</w:t>
      </w:r>
      <w:proofErr w:type="gramEnd"/>
      <w:r w:rsidRPr="00F71AD2">
        <w:rPr>
          <w:rFonts w:hint="eastAsia"/>
          <w:i/>
          <w:iCs/>
          <w:lang w:val="en-US" w:eastAsia="zh-CN"/>
        </w:rPr>
        <w:t xml:space="preserve"> specify </w:t>
      </w:r>
      <w:proofErr w:type="spellStart"/>
      <w:r w:rsidRPr="00F71AD2">
        <w:rPr>
          <w:rFonts w:hint="eastAsia"/>
          <w:i/>
          <w:iCs/>
          <w:lang w:val="en-US" w:eastAsia="zh-CN"/>
        </w:rPr>
        <w:t>TxD</w:t>
      </w:r>
      <w:proofErr w:type="spellEnd"/>
      <w:r w:rsidRPr="00F71AD2">
        <w:rPr>
          <w:rFonts w:hint="eastAsia"/>
          <w:i/>
          <w:iCs/>
          <w:lang w:val="en-US" w:eastAsia="zh-CN"/>
        </w:rPr>
        <w:t xml:space="preserve"> requirement to support the same power class in UL MIMO and single antenna port </w:t>
      </w:r>
    </w:p>
    <w:p w14:paraId="724AB764" w14:textId="77777777" w:rsidR="00F71AD2" w:rsidRPr="00F71AD2" w:rsidRDefault="00F71AD2" w:rsidP="00BB76FC">
      <w:pPr>
        <w:numPr>
          <w:ilvl w:val="1"/>
          <w:numId w:val="12"/>
        </w:numPr>
        <w:overflowPunct w:val="0"/>
        <w:autoSpaceDE w:val="0"/>
        <w:autoSpaceDN w:val="0"/>
        <w:adjustRightInd w:val="0"/>
        <w:spacing w:after="0"/>
        <w:ind w:hanging="357"/>
        <w:textAlignment w:val="baseline"/>
        <w:rPr>
          <w:i/>
          <w:iCs/>
          <w:lang w:val="en-US" w:eastAsia="zh-CN"/>
        </w:rPr>
      </w:pPr>
      <w:r w:rsidRPr="00F71AD2">
        <w:rPr>
          <w:rFonts w:hint="eastAsia"/>
          <w:i/>
          <w:iCs/>
          <w:lang w:val="en-US" w:eastAsia="zh-CN"/>
        </w:rPr>
        <w:t>PA configuration assumption:</w:t>
      </w:r>
    </w:p>
    <w:p w14:paraId="376A5EA8" w14:textId="77777777" w:rsidR="00F71AD2" w:rsidRPr="00F71AD2" w:rsidRDefault="00F71AD2" w:rsidP="00BB76FC">
      <w:pPr>
        <w:numPr>
          <w:ilvl w:val="2"/>
          <w:numId w:val="12"/>
        </w:numPr>
        <w:overflowPunct w:val="0"/>
        <w:autoSpaceDE w:val="0"/>
        <w:autoSpaceDN w:val="0"/>
        <w:adjustRightInd w:val="0"/>
        <w:spacing w:after="0"/>
        <w:ind w:hanging="357"/>
        <w:textAlignment w:val="baseline"/>
        <w:rPr>
          <w:i/>
          <w:iCs/>
          <w:lang w:val="en-US" w:eastAsia="zh-CN"/>
        </w:rPr>
      </w:pPr>
      <w:proofErr w:type="gramStart"/>
      <w:r w:rsidRPr="00F71AD2">
        <w:rPr>
          <w:i/>
          <w:iCs/>
          <w:lang w:val="en-US" w:eastAsia="zh-CN"/>
        </w:rPr>
        <w:t>First priority</w:t>
      </w:r>
      <w:proofErr w:type="gramEnd"/>
      <w:r w:rsidRPr="00F71AD2">
        <w:rPr>
          <w:i/>
          <w:iCs/>
          <w:lang w:val="en-US" w:eastAsia="zh-CN"/>
        </w:rPr>
        <w:t>: 4x23dBm</w:t>
      </w:r>
    </w:p>
    <w:p w14:paraId="06BE1918" w14:textId="77777777" w:rsidR="00F71AD2" w:rsidRPr="00F71AD2" w:rsidRDefault="00F71AD2" w:rsidP="00BB76FC">
      <w:pPr>
        <w:numPr>
          <w:ilvl w:val="2"/>
          <w:numId w:val="12"/>
        </w:numPr>
        <w:overflowPunct w:val="0"/>
        <w:autoSpaceDE w:val="0"/>
        <w:autoSpaceDN w:val="0"/>
        <w:adjustRightInd w:val="0"/>
        <w:spacing w:after="0"/>
        <w:ind w:hanging="357"/>
        <w:textAlignment w:val="baseline"/>
        <w:rPr>
          <w:i/>
          <w:iCs/>
          <w:lang w:val="en-US" w:eastAsia="zh-CN"/>
        </w:rPr>
      </w:pPr>
      <w:r w:rsidRPr="00F71AD2">
        <w:rPr>
          <w:rFonts w:hint="eastAsia"/>
          <w:i/>
          <w:iCs/>
          <w:lang w:val="en-US" w:eastAsia="zh-CN"/>
        </w:rPr>
        <w:t>Second priority: 2x23dBm + 2x26dBm, 4x26dBm</w:t>
      </w:r>
    </w:p>
    <w:p w14:paraId="45D55AD3" w14:textId="77777777" w:rsidR="00F71AD2" w:rsidRPr="00F71AD2" w:rsidRDefault="00F71AD2" w:rsidP="00BB76FC">
      <w:pPr>
        <w:numPr>
          <w:ilvl w:val="1"/>
          <w:numId w:val="12"/>
        </w:numPr>
        <w:overflowPunct w:val="0"/>
        <w:autoSpaceDE w:val="0"/>
        <w:autoSpaceDN w:val="0"/>
        <w:adjustRightInd w:val="0"/>
        <w:spacing w:after="0"/>
        <w:ind w:hanging="357"/>
        <w:textAlignment w:val="baseline"/>
        <w:rPr>
          <w:i/>
          <w:iCs/>
          <w:lang w:val="en-US" w:eastAsia="zh-CN"/>
        </w:rPr>
      </w:pPr>
      <w:r w:rsidRPr="00F71AD2">
        <w:rPr>
          <w:rFonts w:hint="eastAsia"/>
          <w:i/>
          <w:iCs/>
          <w:lang w:val="en-US" w:eastAsia="zh-CN"/>
        </w:rPr>
        <w:t>UE power class</w:t>
      </w:r>
    </w:p>
    <w:p w14:paraId="250A37D5" w14:textId="77777777" w:rsidR="00F71AD2" w:rsidRPr="00F71AD2" w:rsidRDefault="00F71AD2" w:rsidP="00BB76FC">
      <w:pPr>
        <w:numPr>
          <w:ilvl w:val="2"/>
          <w:numId w:val="12"/>
        </w:numPr>
        <w:overflowPunct w:val="0"/>
        <w:autoSpaceDE w:val="0"/>
        <w:autoSpaceDN w:val="0"/>
        <w:adjustRightInd w:val="0"/>
        <w:spacing w:after="0"/>
        <w:ind w:hanging="357"/>
        <w:textAlignment w:val="baseline"/>
        <w:rPr>
          <w:i/>
          <w:iCs/>
          <w:lang w:val="en-US" w:eastAsia="zh-CN"/>
        </w:rPr>
      </w:pPr>
      <w:proofErr w:type="gramStart"/>
      <w:r w:rsidRPr="00F71AD2">
        <w:rPr>
          <w:i/>
          <w:iCs/>
          <w:lang w:val="en-US" w:eastAsia="zh-CN"/>
        </w:rPr>
        <w:t>First priority</w:t>
      </w:r>
      <w:proofErr w:type="gramEnd"/>
      <w:r w:rsidRPr="00F71AD2">
        <w:rPr>
          <w:i/>
          <w:iCs/>
          <w:lang w:val="en-US" w:eastAsia="zh-CN"/>
        </w:rPr>
        <w:t>: PC 1.5</w:t>
      </w:r>
    </w:p>
    <w:p w14:paraId="140C9E6E" w14:textId="77777777" w:rsidR="00F71AD2" w:rsidRPr="00F71AD2" w:rsidRDefault="00F71AD2" w:rsidP="00BB76FC">
      <w:pPr>
        <w:numPr>
          <w:ilvl w:val="2"/>
          <w:numId w:val="12"/>
        </w:numPr>
        <w:overflowPunct w:val="0"/>
        <w:autoSpaceDE w:val="0"/>
        <w:autoSpaceDN w:val="0"/>
        <w:adjustRightInd w:val="0"/>
        <w:spacing w:after="0"/>
        <w:ind w:hanging="357"/>
        <w:textAlignment w:val="baseline"/>
        <w:rPr>
          <w:i/>
          <w:iCs/>
          <w:lang w:val="en-US" w:eastAsia="zh-CN"/>
        </w:rPr>
      </w:pPr>
      <w:r w:rsidRPr="00F71AD2">
        <w:rPr>
          <w:i/>
          <w:iCs/>
          <w:lang w:val="en-US" w:eastAsia="zh-CN"/>
        </w:rPr>
        <w:t>Second priority: PC2/PC3, and/or new power class if needed</w:t>
      </w:r>
    </w:p>
    <w:p w14:paraId="43269057" w14:textId="77777777" w:rsidR="00F71AD2" w:rsidRPr="00F71AD2" w:rsidRDefault="00F71AD2" w:rsidP="00BB76FC">
      <w:pPr>
        <w:numPr>
          <w:ilvl w:val="2"/>
          <w:numId w:val="12"/>
        </w:numPr>
        <w:overflowPunct w:val="0"/>
        <w:autoSpaceDE w:val="0"/>
        <w:autoSpaceDN w:val="0"/>
        <w:adjustRightInd w:val="0"/>
        <w:spacing w:after="0"/>
        <w:ind w:hanging="357"/>
        <w:textAlignment w:val="baseline"/>
        <w:rPr>
          <w:i/>
          <w:iCs/>
          <w:lang w:val="en-US" w:eastAsia="zh-CN"/>
        </w:rPr>
      </w:pPr>
      <w:r w:rsidRPr="00F71AD2">
        <w:rPr>
          <w:i/>
          <w:iCs/>
          <w:lang w:val="en-US" w:eastAsia="zh-CN"/>
        </w:rPr>
        <w:t>Note 1: PC1.5 is only applicable for TDD bands</w:t>
      </w:r>
    </w:p>
    <w:p w14:paraId="397C4427" w14:textId="77777777" w:rsidR="00F71AD2" w:rsidRPr="00F71AD2" w:rsidRDefault="00F71AD2" w:rsidP="00BB76FC">
      <w:pPr>
        <w:numPr>
          <w:ilvl w:val="1"/>
          <w:numId w:val="12"/>
        </w:numPr>
        <w:overflowPunct w:val="0"/>
        <w:autoSpaceDE w:val="0"/>
        <w:autoSpaceDN w:val="0"/>
        <w:adjustRightInd w:val="0"/>
        <w:spacing w:after="0"/>
        <w:textAlignment w:val="baseline"/>
        <w:rPr>
          <w:i/>
          <w:iCs/>
          <w:lang w:val="en-US" w:eastAsia="zh-CN"/>
        </w:rPr>
      </w:pPr>
      <w:r w:rsidRPr="00F71AD2">
        <w:rPr>
          <w:i/>
          <w:iCs/>
          <w:lang w:val="en-US" w:eastAsia="zh-CN"/>
        </w:rPr>
        <w:t>Note: detailed combinations for 2nd priority PA/UE power class assumptions are to be discussed in RAN4</w:t>
      </w:r>
    </w:p>
    <w:p w14:paraId="6F4F713E" w14:textId="77777777" w:rsidR="00F71AD2" w:rsidRPr="00F71AD2" w:rsidRDefault="00F71AD2" w:rsidP="00BB76FC">
      <w:pPr>
        <w:numPr>
          <w:ilvl w:val="0"/>
          <w:numId w:val="12"/>
        </w:numPr>
        <w:overflowPunct w:val="0"/>
        <w:autoSpaceDE w:val="0"/>
        <w:autoSpaceDN w:val="0"/>
        <w:adjustRightInd w:val="0"/>
        <w:spacing w:after="0"/>
        <w:ind w:hanging="357"/>
        <w:textAlignment w:val="baseline"/>
        <w:rPr>
          <w:i/>
          <w:iCs/>
          <w:lang w:val="en-US" w:eastAsia="zh-CN"/>
        </w:rPr>
      </w:pPr>
      <w:r w:rsidRPr="00F71AD2">
        <w:rPr>
          <w:i/>
          <w:iCs/>
          <w:lang w:val="en-US" w:eastAsia="zh-CN"/>
        </w:rPr>
        <w:t>NOTE1: Requirements are specified with phase approach. Objectives with 1st priority are considered first.</w:t>
      </w:r>
    </w:p>
    <w:p w14:paraId="55B85900" w14:textId="77777777" w:rsidR="00F71AD2" w:rsidRPr="00F71AD2" w:rsidRDefault="00F71AD2" w:rsidP="00BB76FC">
      <w:pPr>
        <w:numPr>
          <w:ilvl w:val="0"/>
          <w:numId w:val="12"/>
        </w:numPr>
        <w:overflowPunct w:val="0"/>
        <w:autoSpaceDE w:val="0"/>
        <w:autoSpaceDN w:val="0"/>
        <w:adjustRightInd w:val="0"/>
        <w:spacing w:after="0"/>
        <w:ind w:hanging="357"/>
        <w:textAlignment w:val="baseline"/>
        <w:rPr>
          <w:i/>
          <w:iCs/>
          <w:lang w:val="en-US" w:eastAsia="zh-CN"/>
        </w:rPr>
      </w:pPr>
      <w:r w:rsidRPr="00F71AD2">
        <w:rPr>
          <w:i/>
          <w:iCs/>
          <w:lang w:val="en-US" w:eastAsia="zh-CN"/>
        </w:rPr>
        <w:t>NOTE2: It is assumed the devices are equipped with 4Rx antennas for band n1 requirement definition.</w:t>
      </w:r>
    </w:p>
    <w:bookmarkEnd w:id="3"/>
    <w:p w14:paraId="66FF6980" w14:textId="49D9BBA8" w:rsidR="00C80A0C" w:rsidRDefault="00F71AD2" w:rsidP="00C80A0C">
      <w:pPr>
        <w:pStyle w:val="Heading2"/>
        <w:spacing w:after="240"/>
      </w:pPr>
      <w:r>
        <w:t>MPR evaluation for 4Tx</w:t>
      </w:r>
    </w:p>
    <w:p w14:paraId="4100F13A" w14:textId="0A95C90A" w:rsidR="00F71AD2" w:rsidRDefault="00F71AD2" w:rsidP="00F71AD2">
      <w:r>
        <w:t>One of the key RAN4 requirement</w:t>
      </w:r>
      <w:r w:rsidR="007C76F4">
        <w:t>s</w:t>
      </w:r>
      <w:r>
        <w:t xml:space="preserve"> for 4Tx from an RF perspective beyond the 4x4 UL MIMO codebooks, is the associated MPR for the different power classes.</w:t>
      </w:r>
    </w:p>
    <w:p w14:paraId="3D8D0258" w14:textId="7F0817EA" w:rsidR="00D43B71" w:rsidRDefault="00D43B71" w:rsidP="00F71AD2">
      <w:r>
        <w:t>4TX measurements are very difficult to perform and RIMD simulation for 2Tx or 4Tx lack good modelling for RIMD</w:t>
      </w:r>
      <w:r w:rsidR="007C76F4">
        <w:t xml:space="preserve"> and coupling mechanisms.</w:t>
      </w:r>
      <w:r>
        <w:t xml:space="preserve"> </w:t>
      </w:r>
    </w:p>
    <w:p w14:paraId="00EC4FE9" w14:textId="39CF24D6" w:rsidR="00F71AD2" w:rsidRDefault="00F71AD2" w:rsidP="007C76F4">
      <w:pPr>
        <w:spacing w:after="0"/>
      </w:pPr>
      <w:r>
        <w:t xml:space="preserve">With the </w:t>
      </w:r>
      <w:proofErr w:type="gramStart"/>
      <w:r>
        <w:t>first priority</w:t>
      </w:r>
      <w:proofErr w:type="gramEnd"/>
      <w:r>
        <w:t xml:space="preserve"> being PC1.5 with four 23dBm PAs, there </w:t>
      </w:r>
      <w:r w:rsidR="007C76F4">
        <w:t xml:space="preserve">is </w:t>
      </w:r>
      <w:r>
        <w:t>a few</w:t>
      </w:r>
      <w:r w:rsidR="007C76F4">
        <w:t xml:space="preserve"> more</w:t>
      </w:r>
      <w:r>
        <w:t xml:space="preserve"> aspects to consider:</w:t>
      </w:r>
    </w:p>
    <w:p w14:paraId="1A01C2FF" w14:textId="77777777" w:rsidR="007C76F4" w:rsidRDefault="00F71AD2" w:rsidP="00BB76FC">
      <w:pPr>
        <w:pStyle w:val="ListParagraph"/>
        <w:numPr>
          <w:ilvl w:val="0"/>
          <w:numId w:val="13"/>
        </w:numPr>
      </w:pPr>
      <w:r>
        <w:t xml:space="preserve">First the 23dBm PAs are less linear than PC2 PAs since their calibration is for 30dB ACLR instead of 31dB ACLR for 26dBm PAs </w:t>
      </w:r>
    </w:p>
    <w:p w14:paraId="7EDFBF74" w14:textId="4B3A6356" w:rsidR="00F71AD2" w:rsidRDefault="00F71AD2" w:rsidP="007C76F4">
      <w:pPr>
        <w:pStyle w:val="ListParagraph"/>
      </w:pPr>
      <w:r>
        <w:t xml:space="preserve">=&gt; 4Tx PC1.5 MPR is more sensitive to RIMD than the 2Tx </w:t>
      </w:r>
      <w:r w:rsidR="00B8541E">
        <w:t>PC1.5 MPR (~0.3dB)</w:t>
      </w:r>
    </w:p>
    <w:p w14:paraId="0085C29C" w14:textId="77777777" w:rsidR="007C76F4" w:rsidRDefault="00B8541E" w:rsidP="00BB76FC">
      <w:pPr>
        <w:pStyle w:val="ListParagraph"/>
        <w:numPr>
          <w:ilvl w:val="0"/>
          <w:numId w:val="13"/>
        </w:numPr>
      </w:pPr>
      <w:r>
        <w:t xml:space="preserve">Secondly for 4Tx, each PA sees 3 times the reverse interference than a 2Tx case </w:t>
      </w:r>
    </w:p>
    <w:p w14:paraId="51711675" w14:textId="50A26190" w:rsidR="00B8541E" w:rsidRDefault="00B8541E" w:rsidP="007C76F4">
      <w:pPr>
        <w:pStyle w:val="ListParagraph"/>
      </w:pPr>
      <w:r>
        <w:t>=&gt; the interference level is 5dB higher thus RIMD3 could increase by 15dB if the 3dB/dB rule would apply</w:t>
      </w:r>
    </w:p>
    <w:p w14:paraId="448368EA" w14:textId="2687805D" w:rsidR="00B8541E" w:rsidRDefault="00B8541E" w:rsidP="00BB76FC">
      <w:pPr>
        <w:pStyle w:val="ListParagraph"/>
        <w:numPr>
          <w:ilvl w:val="0"/>
          <w:numId w:val="13"/>
        </w:numPr>
      </w:pPr>
      <w:r>
        <w:t>Both would result with a 4Tx PC1.5 MPR significantly higher than for 2Tx PC1.5 MPR</w:t>
      </w:r>
      <w:r w:rsidR="007C76F4">
        <w:t>.</w:t>
      </w:r>
    </w:p>
    <w:p w14:paraId="287C9CF1" w14:textId="628FC7FA" w:rsidR="00F71AD2" w:rsidRDefault="00B8541E" w:rsidP="00F71AD2">
      <w:r>
        <w:t xml:space="preserve">For FWA, </w:t>
      </w:r>
      <w:r w:rsidR="007C76F4">
        <w:t xml:space="preserve">the </w:t>
      </w:r>
      <w:r>
        <w:t>2Tx PC1.5 MPR assumes 20dB isolation. If one wanted to achieve the same MPR performance for 4Tx given the 3x interference and the 1dB lower linearity of each PA, the antenna isolation would need a 6dB higher value.</w:t>
      </w:r>
    </w:p>
    <w:p w14:paraId="0A341375" w14:textId="7879F8C7" w:rsidR="006C0B74" w:rsidRDefault="00B8541E" w:rsidP="00F71AD2">
      <w:r>
        <w:t>Another way to look at it is to say</w:t>
      </w:r>
      <w:r w:rsidR="007C76F4">
        <w:t>,</w:t>
      </w:r>
      <w:r>
        <w:t xml:space="preserve"> a 4Tx MPR with 20dB antenna isolation would correspond to a 2Tx MPR with 14dB antenna isolation which would result in an MPR closer to the smartphone MPR in </w:t>
      </w:r>
      <w:r w:rsidR="006C0B74" w:rsidRPr="006C0B74">
        <w:t>Table 6.2D.2-2</w:t>
      </w:r>
      <w:r>
        <w:t xml:space="preserve"> rather than </w:t>
      </w:r>
      <w:r w:rsidR="006C0B74" w:rsidRPr="006C0B74">
        <w:t>Table 6.2D.2-</w:t>
      </w:r>
      <w:r w:rsidR="006C0B74">
        <w:t>3</w:t>
      </w:r>
      <w:r>
        <w:t xml:space="preserve"> FWA MPR</w:t>
      </w:r>
      <w:r w:rsidR="006C0B74">
        <w:t xml:space="preserve">. </w:t>
      </w:r>
    </w:p>
    <w:p w14:paraId="5B761D6B" w14:textId="4F16F98F" w:rsidR="00B8541E" w:rsidRDefault="006C0B74" w:rsidP="00F71AD2">
      <w:r>
        <w:lastRenderedPageBreak/>
        <w:t>This results in only 0.5dB MPR degradation but if a 10dB antenna isolation was considered for 4Tx, this would be the equivalent of a 2Tx MPR with only 4dB isolation! The MPR degradation would then be significant.</w:t>
      </w:r>
    </w:p>
    <w:p w14:paraId="3F70BC57" w14:textId="624CE59A" w:rsidR="00D43B71" w:rsidRDefault="00D43B71" w:rsidP="00F71AD2">
      <w:r>
        <w:t>One aspect shown in the past is that with increasing antenna isolation, one should make sure the PCB isolation also increases</w:t>
      </w:r>
      <w:r w:rsidR="007C76F4">
        <w:t>,</w:t>
      </w:r>
      <w:r>
        <w:t xml:space="preserve"> but this is consistent with the form factors offering higher antenna isolation</w:t>
      </w:r>
      <w:r w:rsidR="007C76F4">
        <w:t>.</w:t>
      </w:r>
    </w:p>
    <w:p w14:paraId="114DFA23" w14:textId="295F040D" w:rsidR="006C0B74" w:rsidRPr="006C0B74" w:rsidRDefault="006C0B74" w:rsidP="006C0B74">
      <w:pPr>
        <w:spacing w:after="0"/>
        <w:rPr>
          <w:b/>
          <w:bCs/>
        </w:rPr>
      </w:pPr>
      <w:r w:rsidRPr="006C0B74">
        <w:rPr>
          <w:b/>
          <w:bCs/>
        </w:rPr>
        <w:t>Proposal on antenna isolation assumption for 4Tx PC1.5 4x23dBm PA MPR: Two sets of antenna isolations are considered to derive MPR:</w:t>
      </w:r>
    </w:p>
    <w:p w14:paraId="1E8EECC5" w14:textId="58B21D28" w:rsidR="006C0B74" w:rsidRPr="006C0B74" w:rsidRDefault="006C0B74" w:rsidP="00BB76FC">
      <w:pPr>
        <w:pStyle w:val="ListParagraph"/>
        <w:numPr>
          <w:ilvl w:val="0"/>
          <w:numId w:val="14"/>
        </w:numPr>
        <w:rPr>
          <w:b/>
          <w:bCs/>
        </w:rPr>
      </w:pPr>
      <w:r w:rsidRPr="006C0B74">
        <w:rPr>
          <w:b/>
          <w:bCs/>
        </w:rPr>
        <w:t xml:space="preserve">16dB antenna isolation which would enable to reuse the smartphone MPR from Table 6.2D.2-2 for small form factor </w:t>
      </w:r>
      <w:r w:rsidRPr="006C0B74">
        <w:rPr>
          <w:rFonts w:hint="eastAsia"/>
          <w:b/>
          <w:bCs/>
          <w:lang w:val="en-US" w:eastAsia="zh-CN"/>
        </w:rPr>
        <w:t>CPE/FWA/vehicle/industrial devices</w:t>
      </w:r>
      <w:r w:rsidR="00D43B71">
        <w:rPr>
          <w:b/>
          <w:bCs/>
          <w:lang w:val="en-US" w:eastAsia="zh-CN"/>
        </w:rPr>
        <w:t>. This would not require higher PCB isolation assumptions than for smartphones</w:t>
      </w:r>
    </w:p>
    <w:p w14:paraId="39EF559A" w14:textId="2D6779F3" w:rsidR="00F71AD2" w:rsidRPr="006C0B74" w:rsidRDefault="006C0B74" w:rsidP="00BB76FC">
      <w:pPr>
        <w:pStyle w:val="ListParagraph"/>
        <w:numPr>
          <w:ilvl w:val="0"/>
          <w:numId w:val="14"/>
        </w:numPr>
        <w:rPr>
          <w:b/>
          <w:bCs/>
        </w:rPr>
      </w:pPr>
      <w:r w:rsidRPr="006C0B74">
        <w:rPr>
          <w:b/>
          <w:bCs/>
        </w:rPr>
        <w:t xml:space="preserve">26dB antenna isolation which would enable to reuse the smartphone MPR from Table 6.2D.2-1 for large form factor </w:t>
      </w:r>
      <w:r w:rsidRPr="006C0B74">
        <w:rPr>
          <w:rFonts w:hint="eastAsia"/>
          <w:b/>
          <w:bCs/>
          <w:lang w:val="en-US" w:eastAsia="zh-CN"/>
        </w:rPr>
        <w:t>CPE/FWA/vehicle/industrial devices</w:t>
      </w:r>
      <w:r w:rsidR="00D43B71">
        <w:rPr>
          <w:b/>
          <w:bCs/>
          <w:lang w:val="en-US" w:eastAsia="zh-CN"/>
        </w:rPr>
        <w:t>. This would require improved PCB isolation.</w:t>
      </w:r>
    </w:p>
    <w:p w14:paraId="7BE54F94" w14:textId="77777777" w:rsidR="00305289" w:rsidRDefault="00305289" w:rsidP="00274AAC">
      <w:pPr>
        <w:pStyle w:val="Heading1"/>
        <w:tabs>
          <w:tab w:val="clear" w:pos="1152"/>
          <w:tab w:val="num" w:pos="450"/>
        </w:tabs>
        <w:ind w:left="450"/>
      </w:pPr>
      <w:r>
        <w:t>Conclusions</w:t>
      </w:r>
    </w:p>
    <w:p w14:paraId="68711531" w14:textId="62EEA6D0" w:rsidR="00510EE8" w:rsidRDefault="00305289" w:rsidP="00C64412">
      <w:pPr>
        <w:spacing w:after="0"/>
        <w:jc w:val="both"/>
      </w:pPr>
      <w:r>
        <w:t>In this contribution</w:t>
      </w:r>
      <w:r w:rsidR="009B7F5E">
        <w:t xml:space="preserve">, we </w:t>
      </w:r>
      <w:r w:rsidR="006C0B74">
        <w:t>provided an estimation of the antenna isolation impact on 4Tx PC1.5 MPR and make the following proposal</w:t>
      </w:r>
      <w:r w:rsidR="00BF4614">
        <w:t>.</w:t>
      </w:r>
    </w:p>
    <w:p w14:paraId="7797DABB" w14:textId="77777777" w:rsidR="00945624" w:rsidRDefault="00945624" w:rsidP="00C64412">
      <w:pPr>
        <w:spacing w:after="0"/>
        <w:jc w:val="both"/>
      </w:pPr>
    </w:p>
    <w:p w14:paraId="79255C01" w14:textId="77777777" w:rsidR="00D43B71" w:rsidRPr="006C0B74" w:rsidRDefault="00D43B71" w:rsidP="00D43B71">
      <w:pPr>
        <w:spacing w:after="0"/>
        <w:rPr>
          <w:b/>
          <w:bCs/>
        </w:rPr>
      </w:pPr>
      <w:r w:rsidRPr="006C0B74">
        <w:rPr>
          <w:b/>
          <w:bCs/>
        </w:rPr>
        <w:t>Proposal on antenna isolation assumption for 4Tx PC1.5 4x23dBm PA MPR: Two sets of antenna isolations are considered to derive MPR:</w:t>
      </w:r>
    </w:p>
    <w:p w14:paraId="29478049" w14:textId="77777777" w:rsidR="00D43B71" w:rsidRPr="006C0B74" w:rsidRDefault="00D43B71" w:rsidP="00D43B71">
      <w:pPr>
        <w:pStyle w:val="ListParagraph"/>
        <w:numPr>
          <w:ilvl w:val="0"/>
          <w:numId w:val="14"/>
        </w:numPr>
        <w:rPr>
          <w:b/>
          <w:bCs/>
        </w:rPr>
      </w:pPr>
      <w:r w:rsidRPr="006C0B74">
        <w:rPr>
          <w:b/>
          <w:bCs/>
        </w:rPr>
        <w:t xml:space="preserve">16dB antenna isolation which would enable to reuse the smartphone MPR from Table 6.2D.2-2 for small form factor </w:t>
      </w:r>
      <w:r w:rsidRPr="006C0B74">
        <w:rPr>
          <w:rFonts w:hint="eastAsia"/>
          <w:b/>
          <w:bCs/>
          <w:lang w:val="en-US" w:eastAsia="zh-CN"/>
        </w:rPr>
        <w:t>CPE/FWA/vehicle/industrial devices</w:t>
      </w:r>
      <w:r>
        <w:rPr>
          <w:b/>
          <w:bCs/>
          <w:lang w:val="en-US" w:eastAsia="zh-CN"/>
        </w:rPr>
        <w:t>. This would not require higher PCB isolation assumptions than for smartphones</w:t>
      </w:r>
    </w:p>
    <w:p w14:paraId="371135FB" w14:textId="77777777" w:rsidR="00D43B71" w:rsidRPr="006C0B74" w:rsidRDefault="00D43B71" w:rsidP="00D43B71">
      <w:pPr>
        <w:pStyle w:val="ListParagraph"/>
        <w:numPr>
          <w:ilvl w:val="0"/>
          <w:numId w:val="14"/>
        </w:numPr>
        <w:rPr>
          <w:b/>
          <w:bCs/>
        </w:rPr>
      </w:pPr>
      <w:r w:rsidRPr="006C0B74">
        <w:rPr>
          <w:b/>
          <w:bCs/>
        </w:rPr>
        <w:t xml:space="preserve">26dB antenna isolation which would enable to reuse the smartphone MPR from Table 6.2D.2-1 for large form factor </w:t>
      </w:r>
      <w:r w:rsidRPr="006C0B74">
        <w:rPr>
          <w:rFonts w:hint="eastAsia"/>
          <w:b/>
          <w:bCs/>
          <w:lang w:val="en-US" w:eastAsia="zh-CN"/>
        </w:rPr>
        <w:t>CPE/FWA/vehicle/industrial devices</w:t>
      </w:r>
      <w:r>
        <w:rPr>
          <w:b/>
          <w:bCs/>
          <w:lang w:val="en-US" w:eastAsia="zh-CN"/>
        </w:rPr>
        <w:t>. This would require improved PCB isolation.</w:t>
      </w:r>
    </w:p>
    <w:p w14:paraId="03D6921F" w14:textId="77777777" w:rsidR="00F10F97" w:rsidRDefault="007321E3" w:rsidP="00C8525F">
      <w:pPr>
        <w:pStyle w:val="Heading1"/>
        <w:numPr>
          <w:ilvl w:val="0"/>
          <w:numId w:val="0"/>
        </w:numPr>
        <w:jc w:val="both"/>
      </w:pPr>
      <w:r>
        <w:t>R</w:t>
      </w:r>
      <w:r w:rsidR="00F10F97">
        <w:t>eferences</w:t>
      </w:r>
    </w:p>
    <w:p w14:paraId="0FA68F1E" w14:textId="4C475A23" w:rsidR="00F24CD5" w:rsidRDefault="00F71AD2" w:rsidP="00F71AD2">
      <w:pPr>
        <w:pStyle w:val="ListParagraph"/>
        <w:widowControl w:val="0"/>
        <w:numPr>
          <w:ilvl w:val="0"/>
          <w:numId w:val="11"/>
        </w:numPr>
        <w:snapToGrid w:val="0"/>
      </w:pPr>
      <w:r w:rsidRPr="00F71AD2">
        <w:t>RP-230753 WID revision: Further RF requirements enhancement for NR and EN- DC in frequency range 1</w:t>
      </w:r>
      <w:r w:rsidR="007C76F4">
        <w:t xml:space="preserve">, </w:t>
      </w:r>
      <w:r w:rsidRPr="00F71AD2">
        <w:t xml:space="preserve">Huawei, </w:t>
      </w:r>
      <w:proofErr w:type="spellStart"/>
      <w:r w:rsidRPr="00F71AD2">
        <w:t>HiSilicon</w:t>
      </w:r>
      <w:proofErr w:type="spellEnd"/>
      <w:r w:rsidR="00677F87">
        <w:t>, RAN#99</w:t>
      </w:r>
    </w:p>
    <w:sectPr w:rsidR="00F24CD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C29F3" w14:textId="77777777" w:rsidR="00C50C1B" w:rsidRDefault="00C50C1B">
      <w:r>
        <w:separator/>
      </w:r>
    </w:p>
  </w:endnote>
  <w:endnote w:type="continuationSeparator" w:id="0">
    <w:p w14:paraId="48CF99FC" w14:textId="77777777" w:rsidR="00C50C1B" w:rsidRDefault="00C5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63F8E" w:rsidRDefault="00E63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1FCB3" w14:textId="77777777" w:rsidR="00C50C1B" w:rsidRDefault="00C50C1B">
      <w:r>
        <w:separator/>
      </w:r>
    </w:p>
  </w:footnote>
  <w:footnote w:type="continuationSeparator" w:id="0">
    <w:p w14:paraId="1274173F" w14:textId="77777777" w:rsidR="00C50C1B" w:rsidRDefault="00C50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8BF461C"/>
    <w:multiLevelType w:val="hybridMultilevel"/>
    <w:tmpl w:val="E66AE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7804C15"/>
    <w:multiLevelType w:val="hybridMultilevel"/>
    <w:tmpl w:val="1512C3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6"/>
  </w:num>
  <w:num w:numId="4">
    <w:abstractNumId w:val="13"/>
  </w:num>
  <w:num w:numId="5">
    <w:abstractNumId w:val="4"/>
  </w:num>
  <w:num w:numId="6">
    <w:abstractNumId w:val="1"/>
  </w:num>
  <w:num w:numId="7">
    <w:abstractNumId w:val="7"/>
  </w:num>
  <w:num w:numId="8">
    <w:abstractNumId w:val="10"/>
  </w:num>
  <w:num w:numId="9">
    <w:abstractNumId w:val="12"/>
  </w:num>
  <w:num w:numId="10">
    <w:abstractNumId w:val="0"/>
  </w:num>
  <w:num w:numId="11">
    <w:abstractNumId w:val="3"/>
  </w:num>
  <w:num w:numId="12">
    <w:abstractNumId w:val="8"/>
  </w:num>
  <w:num w:numId="13">
    <w:abstractNumId w:val="9"/>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773"/>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8FE"/>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AC1"/>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9D4"/>
    <w:rsid w:val="00094AE2"/>
    <w:rsid w:val="0009536E"/>
    <w:rsid w:val="0009544E"/>
    <w:rsid w:val="000954F5"/>
    <w:rsid w:val="00095550"/>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B9A"/>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1A1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23F"/>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BFD"/>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3F74"/>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35"/>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4990"/>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38C5"/>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20C"/>
    <w:rsid w:val="00351543"/>
    <w:rsid w:val="00351708"/>
    <w:rsid w:val="00351816"/>
    <w:rsid w:val="00351AE1"/>
    <w:rsid w:val="00351D18"/>
    <w:rsid w:val="003527B2"/>
    <w:rsid w:val="003529B8"/>
    <w:rsid w:val="00352D4E"/>
    <w:rsid w:val="00352E7D"/>
    <w:rsid w:val="00352EED"/>
    <w:rsid w:val="00353C93"/>
    <w:rsid w:val="00353E25"/>
    <w:rsid w:val="00354249"/>
    <w:rsid w:val="00354512"/>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8D9"/>
    <w:rsid w:val="00366A81"/>
    <w:rsid w:val="00366B97"/>
    <w:rsid w:val="00366C0B"/>
    <w:rsid w:val="00366C45"/>
    <w:rsid w:val="00366C67"/>
    <w:rsid w:val="00366C75"/>
    <w:rsid w:val="003671E4"/>
    <w:rsid w:val="00367345"/>
    <w:rsid w:val="003674B3"/>
    <w:rsid w:val="00367D19"/>
    <w:rsid w:val="00370158"/>
    <w:rsid w:val="00370245"/>
    <w:rsid w:val="00371156"/>
    <w:rsid w:val="00371330"/>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87C6C"/>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9C1"/>
    <w:rsid w:val="00396F19"/>
    <w:rsid w:val="00397702"/>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3BF"/>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45"/>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427"/>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B22"/>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69B9"/>
    <w:rsid w:val="00447688"/>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5C61"/>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C24"/>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05"/>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0EDD"/>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970"/>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5B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CF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87CF0"/>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B3"/>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554"/>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182"/>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5F3B"/>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218"/>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9FF"/>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89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0B74"/>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448"/>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077"/>
    <w:rsid w:val="007571C5"/>
    <w:rsid w:val="0075724A"/>
    <w:rsid w:val="0075777D"/>
    <w:rsid w:val="007605E9"/>
    <w:rsid w:val="00760A44"/>
    <w:rsid w:val="0076167D"/>
    <w:rsid w:val="007619AD"/>
    <w:rsid w:val="00761F36"/>
    <w:rsid w:val="00762107"/>
    <w:rsid w:val="007633C5"/>
    <w:rsid w:val="00764584"/>
    <w:rsid w:val="00764778"/>
    <w:rsid w:val="00765403"/>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6F4"/>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3C07"/>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ADE"/>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36"/>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0F"/>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854"/>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4A8"/>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C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0A4B"/>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624"/>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6D"/>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66D"/>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4D19"/>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44C"/>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08"/>
    <w:rsid w:val="00A05EDD"/>
    <w:rsid w:val="00A06179"/>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6E45"/>
    <w:rsid w:val="00A17682"/>
    <w:rsid w:val="00A17B89"/>
    <w:rsid w:val="00A20197"/>
    <w:rsid w:val="00A20760"/>
    <w:rsid w:val="00A20832"/>
    <w:rsid w:val="00A20F0F"/>
    <w:rsid w:val="00A20FBB"/>
    <w:rsid w:val="00A21148"/>
    <w:rsid w:val="00A21174"/>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FCA"/>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5CF"/>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D01"/>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41E"/>
    <w:rsid w:val="00B856A4"/>
    <w:rsid w:val="00B85E80"/>
    <w:rsid w:val="00B86000"/>
    <w:rsid w:val="00B86595"/>
    <w:rsid w:val="00B86FC3"/>
    <w:rsid w:val="00B90258"/>
    <w:rsid w:val="00B90D93"/>
    <w:rsid w:val="00B9129A"/>
    <w:rsid w:val="00B918A5"/>
    <w:rsid w:val="00B91DDC"/>
    <w:rsid w:val="00B9234B"/>
    <w:rsid w:val="00B92548"/>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6FC"/>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AF0"/>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01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333"/>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DE5"/>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1B"/>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5A0"/>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69C"/>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505"/>
    <w:rsid w:val="00D427A7"/>
    <w:rsid w:val="00D42929"/>
    <w:rsid w:val="00D43039"/>
    <w:rsid w:val="00D431DC"/>
    <w:rsid w:val="00D4328B"/>
    <w:rsid w:val="00D43B71"/>
    <w:rsid w:val="00D43CFB"/>
    <w:rsid w:val="00D445EC"/>
    <w:rsid w:val="00D44657"/>
    <w:rsid w:val="00D446D1"/>
    <w:rsid w:val="00D45A74"/>
    <w:rsid w:val="00D4611E"/>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99E"/>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46"/>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AD"/>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9F1"/>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063"/>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CA"/>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53"/>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3740"/>
    <w:rsid w:val="00E14160"/>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3F8E"/>
    <w:rsid w:val="00E64F5A"/>
    <w:rsid w:val="00E653E6"/>
    <w:rsid w:val="00E66623"/>
    <w:rsid w:val="00E66838"/>
    <w:rsid w:val="00E66C01"/>
    <w:rsid w:val="00E66DA8"/>
    <w:rsid w:val="00E66DB7"/>
    <w:rsid w:val="00E66F50"/>
    <w:rsid w:val="00E671BB"/>
    <w:rsid w:val="00E674B6"/>
    <w:rsid w:val="00E677AA"/>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497"/>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693"/>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7E3"/>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4CD5"/>
    <w:rsid w:val="00F25390"/>
    <w:rsid w:val="00F25B7F"/>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AD2"/>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341"/>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4EB"/>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3A0"/>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 w:type="paragraph" w:styleId="Index6">
    <w:name w:val="index 6"/>
    <w:basedOn w:val="Normal"/>
    <w:next w:val="Normal"/>
    <w:autoRedefine/>
    <w:semiHidden/>
    <w:unhideWhenUsed/>
    <w:rsid w:val="00387C6C"/>
    <w:pPr>
      <w:spacing w:after="0"/>
      <w:ind w:left="1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8886209">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7590899">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076397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2</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4851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2023-04-10T22:07:00Z</dcterms:created>
  <dcterms:modified xsi:type="dcterms:W3CDTF">2023-04-10T23:05:00Z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